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70" w:rsidRDefault="009C0270" w:rsidP="00DF33AB">
      <w:pPr>
        <w:spacing w:after="0"/>
        <w:ind w:firstLine="708"/>
        <w:jc w:val="center"/>
        <w:rPr>
          <w:rFonts w:ascii="Tahoma" w:hAnsi="Tahoma" w:cs="Tahoma"/>
          <w:b/>
          <w:iCs/>
          <w:sz w:val="24"/>
          <w:szCs w:val="24"/>
          <w:lang w:val="uz-Cyrl-UZ"/>
        </w:rPr>
      </w:pP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Chairman of the State Committee for Industrial Safety</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Gulyamov Bakhtiyor Vakhabovich</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 xml:space="preserve"> Congratulations on the opening of the international scientific and practical online conference "Ensuring the safety of life in the economy: Prospects and challenges of social and technical systems"</w:t>
      </w:r>
    </w:p>
    <w:p w:rsidR="001412E5" w:rsidRPr="001412E5" w:rsidRDefault="001412E5" w:rsidP="001412E5">
      <w:pPr>
        <w:spacing w:after="0"/>
        <w:ind w:firstLine="708"/>
        <w:jc w:val="both"/>
        <w:rPr>
          <w:rFonts w:ascii="Tahoma" w:hAnsi="Tahoma" w:cs="Tahoma"/>
          <w:b/>
          <w:iCs/>
          <w:sz w:val="24"/>
          <w:szCs w:val="24"/>
          <w:lang w:val="uz-Cyrl-UZ"/>
        </w:rPr>
      </w:pP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Hello, participants of the international scientific and practical online conference "Ensuring the safety of life in the economy: Prospects and challenges of social and technical systems."</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It is 74 years since the establishment of the state control body in the field of industrial safety in the Republic of Uzbekistan.</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The State Committee for Industrial Safety is the governing body of the State Control over the years.</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The State Committee carries out state control on the basis of more than 1,000 normative legal and normative technical documents regulating the spheres of industry, radiation and nuclear safety.</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The State Committee for Industrial Safety is the authorized body responsible for the implementation and control of a single state policy in the field of industrial, radiation and nuclear safety at nuclear power and nuclear technology facilities, as well as hazardous production facilities.</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More than 13,000 enterprises, more than 158,000 hazardous production facilities are used in the country, and more than 700,000 workers and employees work at the facilities of the Fuel and Energy Complex alone.</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In total, together with business entities operating in hazardous production facilities of the Republic, 7 mln. has more than employees.</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Until May 2021, the staff of the State Committee for Industrial Safety carried out 1278 state inspections, 3467 control and prevention works, 17934 industrial, radiation safety in enterprises and organizations under its control, aimed at protecting the population and the territory from natural and man-made emergencies. Violations were detected in accordance with the requirements of the law, and 381 million soums were paid to 671 engineers and managers who committed them. A fine of more than 1 billion soums was imposed, work was suspended at 31 enterprises with the possibility of emergencies, 18 enterprises were able to eliminate shortcomings in a timely manner, and work was resumed.</w:t>
      </w:r>
    </w:p>
    <w:p w:rsidR="001412E5" w:rsidRP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As of May 2021, a total of 23 accidents (18 in total in the corresponding reporting period of 2020) were registered in enterprises and organizations under the control of the State Committee, of which 1 (1) group, 6 (5) fatal, 14 ( 8) 21 documents with severe and 2 (4) minor injuries were sent to law enforcement agencies.</w:t>
      </w:r>
    </w:p>
    <w:p w:rsidR="001412E5" w:rsidRDefault="001412E5" w:rsidP="001412E5">
      <w:pPr>
        <w:spacing w:after="0"/>
        <w:ind w:firstLine="708"/>
        <w:jc w:val="both"/>
        <w:rPr>
          <w:rFonts w:ascii="Tahoma" w:hAnsi="Tahoma" w:cs="Tahoma"/>
          <w:b/>
          <w:iCs/>
          <w:sz w:val="24"/>
          <w:szCs w:val="24"/>
          <w:lang w:val="uz-Cyrl-UZ"/>
        </w:rPr>
      </w:pPr>
      <w:r w:rsidRPr="001412E5">
        <w:rPr>
          <w:rFonts w:ascii="Tahoma" w:hAnsi="Tahoma" w:cs="Tahoma"/>
          <w:b/>
          <w:iCs/>
          <w:sz w:val="24"/>
          <w:szCs w:val="24"/>
          <w:lang w:val="uz-Cyrl-UZ"/>
        </w:rPr>
        <w:t xml:space="preserve">In order to analyze the causes of fatal accidents at controlled enterprises and make appropriate decisions, 2 (fatal) accidents were considered at 5 </w:t>
      </w:r>
      <w:r w:rsidRPr="001412E5">
        <w:rPr>
          <w:rFonts w:ascii="Tahoma" w:hAnsi="Tahoma" w:cs="Tahoma"/>
          <w:b/>
          <w:iCs/>
          <w:sz w:val="24"/>
          <w:szCs w:val="24"/>
          <w:lang w:val="uz-Cyrl-UZ"/>
        </w:rPr>
        <w:lastRenderedPageBreak/>
        <w:t>extraordinary meetings of the Board of the State Committee, and the heads of organizations were instructed to develop specific measures to prevent accidents and their implementation. taken under control. Appropriate administrative measures and disciplinary measures were taken against 678 managers and engineers and 16 managers and engineers within the competence of the Committee against the conclusions of the Special Audit Commission and the decisions of the Board against 678 managers and engineers who did not comply with the rules of industrial safety and safe working conditions.</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Each accident and fatal accident is considered at the Board meetings of the State Committee, as noted above, accidents resulting in serious injuries are considered at the meetings of the Inspectorate, and appropriate decisions are made, and disciplinary and technical measures are taken against engineers and technicians who cause accidents. administrative measures are being taken.</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In recent years, there has been a frequent change of managers in enterprises and organizations, and it seems that the appointed managers and specialists are not sufficiently knowledgeable about industrial, technical safety and labor protection issues and are not ready for management work. This situation leads to an increase in accidents and mishaps.</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The analysis revealed that the main causes of accidents and incidents are ignorance in the field of industrial safety and labor protection.</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In recent years, the increase in the number of accidents and incidents at hazardous production facilities can be attributed to the lack of training in the field of industrial safety, labor protection and safety in higher education institutions (departments of Haet activity) under the Ministry of Higher and Secondary Special Education.</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As a result, young professionals are not properly organized work safety in the workplace</w:t>
      </w:r>
      <w:bookmarkStart w:id="0" w:name="_GoBack"/>
      <w:bookmarkEnd w:id="0"/>
      <w:r w:rsidRPr="001412E5">
        <w:rPr>
          <w:rFonts w:ascii="Tahoma" w:hAnsi="Tahoma" w:cs="Tahoma"/>
          <w:iCs/>
          <w:sz w:val="24"/>
          <w:szCs w:val="24"/>
          <w:lang w:val="uz-Cyrl-UZ"/>
        </w:rPr>
        <w:t>, safety requirements are not properly required from subordinates, all this is evidenced by the lack of training of trained personnel.</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Taking into account the above, the State Committee for Industrial Safety asks you to include industrial safety and labor protection as a separate subject in the curricula of all higher education institutions in order to prevent accidents at industrial enterprises we think it is expedient.</w:t>
      </w:r>
    </w:p>
    <w:p w:rsidR="001412E5" w:rsidRPr="001412E5"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Taking this opportunity, I would like to thank the participants and organizers of the conference and wish the participants of the conference good mood, activity and improvement of industrial safety in enterprises, systematic implementation of measures to prevent accidents and a safe return home from work to their families. .</w:t>
      </w:r>
    </w:p>
    <w:p w:rsidR="0000592C" w:rsidRPr="00DF33AB" w:rsidRDefault="001412E5" w:rsidP="001412E5">
      <w:pPr>
        <w:spacing w:after="0"/>
        <w:ind w:firstLine="708"/>
        <w:jc w:val="both"/>
        <w:rPr>
          <w:rFonts w:ascii="Tahoma" w:hAnsi="Tahoma" w:cs="Tahoma"/>
          <w:iCs/>
          <w:sz w:val="24"/>
          <w:szCs w:val="24"/>
          <w:lang w:val="uz-Cyrl-UZ"/>
        </w:rPr>
      </w:pPr>
      <w:r w:rsidRPr="001412E5">
        <w:rPr>
          <w:rFonts w:ascii="Tahoma" w:hAnsi="Tahoma" w:cs="Tahoma"/>
          <w:iCs/>
          <w:sz w:val="24"/>
          <w:szCs w:val="24"/>
          <w:lang w:val="uz-Cyrl-UZ"/>
        </w:rPr>
        <w:t>thank you for your attention.</w:t>
      </w:r>
    </w:p>
    <w:sectPr w:rsidR="0000592C" w:rsidRPr="00DF33AB" w:rsidSect="004E5456">
      <w:headerReference w:type="even" r:id="rId8"/>
      <w:headerReference w:type="default" r:id="rId9"/>
      <w:footerReference w:type="even" r:id="rId10"/>
      <w:footerReference w:type="default" r:id="rId11"/>
      <w:headerReference w:type="first" r:id="rId12"/>
      <w:footerReference w:type="first" r:id="rId13"/>
      <w:pgSz w:w="11906" w:h="16838"/>
      <w:pgMar w:top="822"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AC" w:rsidRDefault="00706DAC">
      <w:pPr>
        <w:spacing w:after="0" w:line="240" w:lineRule="auto"/>
      </w:pPr>
      <w:r>
        <w:separator/>
      </w:r>
    </w:p>
  </w:endnote>
  <w:endnote w:type="continuationSeparator" w:id="0">
    <w:p w:rsidR="00706DAC" w:rsidRDefault="0070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A0" w:rsidRDefault="00711AA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A0" w:rsidRDefault="00711AA0">
    <w:pPr>
      <w:pStyle w:val="a9"/>
      <w:jc w:val="right"/>
    </w:pPr>
    <w:r>
      <w:fldChar w:fldCharType="begin"/>
    </w:r>
    <w:r>
      <w:instrText>PAGE   \* MERGEFORMAT</w:instrText>
    </w:r>
    <w:r>
      <w:fldChar w:fldCharType="separate"/>
    </w:r>
    <w:r w:rsidR="004C6104">
      <w:rPr>
        <w:noProof/>
      </w:rPr>
      <w:t>2</w:t>
    </w:r>
    <w:r>
      <w:rPr>
        <w:noProof/>
      </w:rPr>
      <w:fldChar w:fldCharType="end"/>
    </w:r>
  </w:p>
  <w:p w:rsidR="00711AA0" w:rsidRDefault="00711AA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A0" w:rsidRDefault="00711AA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AC" w:rsidRDefault="00706DAC">
      <w:pPr>
        <w:spacing w:after="0" w:line="240" w:lineRule="auto"/>
      </w:pPr>
      <w:r>
        <w:separator/>
      </w:r>
    </w:p>
  </w:footnote>
  <w:footnote w:type="continuationSeparator" w:id="0">
    <w:p w:rsidR="00706DAC" w:rsidRDefault="0070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A0" w:rsidRDefault="00711AA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A0" w:rsidRDefault="00711AA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A0" w:rsidRDefault="00711A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61A2C"/>
    <w:multiLevelType w:val="hybridMultilevel"/>
    <w:tmpl w:val="CDFE4420"/>
    <w:lvl w:ilvl="0" w:tplc="555AC57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68"/>
    <w:rsid w:val="000001A6"/>
    <w:rsid w:val="000002AD"/>
    <w:rsid w:val="00001214"/>
    <w:rsid w:val="00002474"/>
    <w:rsid w:val="0000592C"/>
    <w:rsid w:val="000166AF"/>
    <w:rsid w:val="000170A4"/>
    <w:rsid w:val="000175D1"/>
    <w:rsid w:val="00030F00"/>
    <w:rsid w:val="00031428"/>
    <w:rsid w:val="000348C1"/>
    <w:rsid w:val="00035825"/>
    <w:rsid w:val="00037360"/>
    <w:rsid w:val="00051C87"/>
    <w:rsid w:val="0005460B"/>
    <w:rsid w:val="000625A8"/>
    <w:rsid w:val="00085CB9"/>
    <w:rsid w:val="000B3AC3"/>
    <w:rsid w:val="000C2DB5"/>
    <w:rsid w:val="000D201D"/>
    <w:rsid w:val="000D562E"/>
    <w:rsid w:val="000D66AF"/>
    <w:rsid w:val="000D6797"/>
    <w:rsid w:val="000E4146"/>
    <w:rsid w:val="001003FF"/>
    <w:rsid w:val="00115661"/>
    <w:rsid w:val="001412E5"/>
    <w:rsid w:val="00161B42"/>
    <w:rsid w:val="001656AF"/>
    <w:rsid w:val="00171DBB"/>
    <w:rsid w:val="0018703C"/>
    <w:rsid w:val="00187F7A"/>
    <w:rsid w:val="001A02BF"/>
    <w:rsid w:val="001A4CA3"/>
    <w:rsid w:val="001C052C"/>
    <w:rsid w:val="001C28E0"/>
    <w:rsid w:val="001C5FCF"/>
    <w:rsid w:val="001C7A19"/>
    <w:rsid w:val="001F5D67"/>
    <w:rsid w:val="001F6332"/>
    <w:rsid w:val="001F7921"/>
    <w:rsid w:val="002005B0"/>
    <w:rsid w:val="002038B5"/>
    <w:rsid w:val="00214665"/>
    <w:rsid w:val="002223C9"/>
    <w:rsid w:val="00225FF5"/>
    <w:rsid w:val="00231A16"/>
    <w:rsid w:val="00247FE8"/>
    <w:rsid w:val="00250C6F"/>
    <w:rsid w:val="0025601B"/>
    <w:rsid w:val="00256277"/>
    <w:rsid w:val="0026114A"/>
    <w:rsid w:val="00264665"/>
    <w:rsid w:val="00266A38"/>
    <w:rsid w:val="002752EE"/>
    <w:rsid w:val="00275EDF"/>
    <w:rsid w:val="002771DD"/>
    <w:rsid w:val="00280BA1"/>
    <w:rsid w:val="00285EF3"/>
    <w:rsid w:val="002A7192"/>
    <w:rsid w:val="002B449D"/>
    <w:rsid w:val="002B6B72"/>
    <w:rsid w:val="002C64CC"/>
    <w:rsid w:val="002F5C4A"/>
    <w:rsid w:val="002F6A1B"/>
    <w:rsid w:val="00300006"/>
    <w:rsid w:val="00300B8B"/>
    <w:rsid w:val="00306C86"/>
    <w:rsid w:val="00341DAA"/>
    <w:rsid w:val="00350AAC"/>
    <w:rsid w:val="0035626A"/>
    <w:rsid w:val="003600E3"/>
    <w:rsid w:val="00366EC4"/>
    <w:rsid w:val="00371310"/>
    <w:rsid w:val="00376873"/>
    <w:rsid w:val="00380B97"/>
    <w:rsid w:val="00381BE2"/>
    <w:rsid w:val="00384268"/>
    <w:rsid w:val="00390DD2"/>
    <w:rsid w:val="0039154F"/>
    <w:rsid w:val="003972C5"/>
    <w:rsid w:val="003A4EF3"/>
    <w:rsid w:val="003B3719"/>
    <w:rsid w:val="003D18D9"/>
    <w:rsid w:val="003E599D"/>
    <w:rsid w:val="004067D0"/>
    <w:rsid w:val="0041054D"/>
    <w:rsid w:val="00415A76"/>
    <w:rsid w:val="00416D47"/>
    <w:rsid w:val="0041788B"/>
    <w:rsid w:val="004263AB"/>
    <w:rsid w:val="00427A9D"/>
    <w:rsid w:val="004369D4"/>
    <w:rsid w:val="00442AB6"/>
    <w:rsid w:val="0044445C"/>
    <w:rsid w:val="00445643"/>
    <w:rsid w:val="004549D7"/>
    <w:rsid w:val="00467E96"/>
    <w:rsid w:val="00484874"/>
    <w:rsid w:val="00487727"/>
    <w:rsid w:val="004A0184"/>
    <w:rsid w:val="004A33E5"/>
    <w:rsid w:val="004C3FA4"/>
    <w:rsid w:val="004C6104"/>
    <w:rsid w:val="004E5456"/>
    <w:rsid w:val="004F363B"/>
    <w:rsid w:val="004F4E04"/>
    <w:rsid w:val="004F561A"/>
    <w:rsid w:val="0050651E"/>
    <w:rsid w:val="005470A2"/>
    <w:rsid w:val="00553756"/>
    <w:rsid w:val="00560040"/>
    <w:rsid w:val="005713E9"/>
    <w:rsid w:val="005726A9"/>
    <w:rsid w:val="0058103B"/>
    <w:rsid w:val="0058639A"/>
    <w:rsid w:val="00597D9E"/>
    <w:rsid w:val="005A066A"/>
    <w:rsid w:val="005C099B"/>
    <w:rsid w:val="005F037D"/>
    <w:rsid w:val="005F3619"/>
    <w:rsid w:val="005F7C77"/>
    <w:rsid w:val="00602EB4"/>
    <w:rsid w:val="00603B0A"/>
    <w:rsid w:val="00612630"/>
    <w:rsid w:val="006264CC"/>
    <w:rsid w:val="00637B5A"/>
    <w:rsid w:val="006417ED"/>
    <w:rsid w:val="006536EE"/>
    <w:rsid w:val="00657368"/>
    <w:rsid w:val="006632FE"/>
    <w:rsid w:val="00663EC6"/>
    <w:rsid w:val="00664ABA"/>
    <w:rsid w:val="00666EA9"/>
    <w:rsid w:val="006737B6"/>
    <w:rsid w:val="0068220B"/>
    <w:rsid w:val="006B6519"/>
    <w:rsid w:val="006B6844"/>
    <w:rsid w:val="006C0C6A"/>
    <w:rsid w:val="006C17C7"/>
    <w:rsid w:val="006C47D4"/>
    <w:rsid w:val="006D1005"/>
    <w:rsid w:val="006D36D3"/>
    <w:rsid w:val="006E2725"/>
    <w:rsid w:val="006F5046"/>
    <w:rsid w:val="0070070B"/>
    <w:rsid w:val="00704CD6"/>
    <w:rsid w:val="00704D9D"/>
    <w:rsid w:val="00706DAC"/>
    <w:rsid w:val="0071120A"/>
    <w:rsid w:val="00711AA0"/>
    <w:rsid w:val="00722F20"/>
    <w:rsid w:val="00725F08"/>
    <w:rsid w:val="00733C57"/>
    <w:rsid w:val="00734E69"/>
    <w:rsid w:val="0075787A"/>
    <w:rsid w:val="00765EEB"/>
    <w:rsid w:val="00775E3C"/>
    <w:rsid w:val="00777347"/>
    <w:rsid w:val="007867A5"/>
    <w:rsid w:val="00797A37"/>
    <w:rsid w:val="007C73DC"/>
    <w:rsid w:val="007E4C69"/>
    <w:rsid w:val="007F673D"/>
    <w:rsid w:val="0080415E"/>
    <w:rsid w:val="008319D7"/>
    <w:rsid w:val="00837AE0"/>
    <w:rsid w:val="00844AA8"/>
    <w:rsid w:val="00852E18"/>
    <w:rsid w:val="00860C5B"/>
    <w:rsid w:val="00863155"/>
    <w:rsid w:val="00874102"/>
    <w:rsid w:val="00877210"/>
    <w:rsid w:val="00881890"/>
    <w:rsid w:val="00884BC0"/>
    <w:rsid w:val="008911DE"/>
    <w:rsid w:val="00893C58"/>
    <w:rsid w:val="008A3B92"/>
    <w:rsid w:val="008A7D24"/>
    <w:rsid w:val="008D6FCE"/>
    <w:rsid w:val="008D76B5"/>
    <w:rsid w:val="008E4CC9"/>
    <w:rsid w:val="008E5E9E"/>
    <w:rsid w:val="008E7559"/>
    <w:rsid w:val="008F7506"/>
    <w:rsid w:val="009157A8"/>
    <w:rsid w:val="00916160"/>
    <w:rsid w:val="0092695B"/>
    <w:rsid w:val="0093378A"/>
    <w:rsid w:val="00935D23"/>
    <w:rsid w:val="00936221"/>
    <w:rsid w:val="0093667D"/>
    <w:rsid w:val="009368B6"/>
    <w:rsid w:val="0093720A"/>
    <w:rsid w:val="00941B4A"/>
    <w:rsid w:val="00942C2B"/>
    <w:rsid w:val="009538BE"/>
    <w:rsid w:val="00961A63"/>
    <w:rsid w:val="009802AB"/>
    <w:rsid w:val="00980520"/>
    <w:rsid w:val="009806D9"/>
    <w:rsid w:val="009848FC"/>
    <w:rsid w:val="00986F11"/>
    <w:rsid w:val="00990214"/>
    <w:rsid w:val="00990CA6"/>
    <w:rsid w:val="009911B7"/>
    <w:rsid w:val="009950E9"/>
    <w:rsid w:val="009B200D"/>
    <w:rsid w:val="009C0270"/>
    <w:rsid w:val="009C2F9E"/>
    <w:rsid w:val="009D3778"/>
    <w:rsid w:val="009E7B9D"/>
    <w:rsid w:val="009F68E1"/>
    <w:rsid w:val="00A047D3"/>
    <w:rsid w:val="00A1543A"/>
    <w:rsid w:val="00A157BA"/>
    <w:rsid w:val="00A16275"/>
    <w:rsid w:val="00A17480"/>
    <w:rsid w:val="00A2106C"/>
    <w:rsid w:val="00A2197C"/>
    <w:rsid w:val="00A25B8A"/>
    <w:rsid w:val="00A30AC3"/>
    <w:rsid w:val="00A337E6"/>
    <w:rsid w:val="00A41971"/>
    <w:rsid w:val="00A43D2D"/>
    <w:rsid w:val="00A515A6"/>
    <w:rsid w:val="00A55BE4"/>
    <w:rsid w:val="00A61868"/>
    <w:rsid w:val="00A75605"/>
    <w:rsid w:val="00A853A2"/>
    <w:rsid w:val="00AA0BE2"/>
    <w:rsid w:val="00AC1859"/>
    <w:rsid w:val="00AD0C2B"/>
    <w:rsid w:val="00AD42B5"/>
    <w:rsid w:val="00AD688C"/>
    <w:rsid w:val="00AD775E"/>
    <w:rsid w:val="00AE35DE"/>
    <w:rsid w:val="00AE6A2F"/>
    <w:rsid w:val="00AE798B"/>
    <w:rsid w:val="00B2157A"/>
    <w:rsid w:val="00B22527"/>
    <w:rsid w:val="00B3145B"/>
    <w:rsid w:val="00B754EA"/>
    <w:rsid w:val="00B829D0"/>
    <w:rsid w:val="00B93DCB"/>
    <w:rsid w:val="00B94955"/>
    <w:rsid w:val="00BA3C3E"/>
    <w:rsid w:val="00BA6018"/>
    <w:rsid w:val="00BB31A9"/>
    <w:rsid w:val="00BB43D3"/>
    <w:rsid w:val="00BB4EF6"/>
    <w:rsid w:val="00BB6298"/>
    <w:rsid w:val="00BD18DD"/>
    <w:rsid w:val="00BE2594"/>
    <w:rsid w:val="00BF5CB4"/>
    <w:rsid w:val="00C02E19"/>
    <w:rsid w:val="00C11935"/>
    <w:rsid w:val="00C14692"/>
    <w:rsid w:val="00C16945"/>
    <w:rsid w:val="00C170C2"/>
    <w:rsid w:val="00C3259C"/>
    <w:rsid w:val="00C452A1"/>
    <w:rsid w:val="00C47A65"/>
    <w:rsid w:val="00C51E7F"/>
    <w:rsid w:val="00C52314"/>
    <w:rsid w:val="00C649C9"/>
    <w:rsid w:val="00C66C58"/>
    <w:rsid w:val="00C6700C"/>
    <w:rsid w:val="00C747AA"/>
    <w:rsid w:val="00C90BA2"/>
    <w:rsid w:val="00CA451F"/>
    <w:rsid w:val="00CA7766"/>
    <w:rsid w:val="00CB4C7C"/>
    <w:rsid w:val="00CC3FB3"/>
    <w:rsid w:val="00CD37EE"/>
    <w:rsid w:val="00CD7BE9"/>
    <w:rsid w:val="00D0663D"/>
    <w:rsid w:val="00D30D2D"/>
    <w:rsid w:val="00D31145"/>
    <w:rsid w:val="00D50501"/>
    <w:rsid w:val="00D509CF"/>
    <w:rsid w:val="00D6643C"/>
    <w:rsid w:val="00D8327B"/>
    <w:rsid w:val="00D90273"/>
    <w:rsid w:val="00DA5FF6"/>
    <w:rsid w:val="00DB17B6"/>
    <w:rsid w:val="00DB34D6"/>
    <w:rsid w:val="00DB41A9"/>
    <w:rsid w:val="00DC2CA2"/>
    <w:rsid w:val="00DC2EE3"/>
    <w:rsid w:val="00DC4616"/>
    <w:rsid w:val="00DC7FDF"/>
    <w:rsid w:val="00DF00BD"/>
    <w:rsid w:val="00DF33AB"/>
    <w:rsid w:val="00E013A6"/>
    <w:rsid w:val="00E105D1"/>
    <w:rsid w:val="00E43565"/>
    <w:rsid w:val="00E4436D"/>
    <w:rsid w:val="00E743FB"/>
    <w:rsid w:val="00E830C9"/>
    <w:rsid w:val="00E87EB2"/>
    <w:rsid w:val="00EA09EA"/>
    <w:rsid w:val="00EA2FEF"/>
    <w:rsid w:val="00EB23B7"/>
    <w:rsid w:val="00EB7C80"/>
    <w:rsid w:val="00EB7E01"/>
    <w:rsid w:val="00EC0C46"/>
    <w:rsid w:val="00EC0E30"/>
    <w:rsid w:val="00EC2B5F"/>
    <w:rsid w:val="00ED57F2"/>
    <w:rsid w:val="00EE5FC2"/>
    <w:rsid w:val="00EE78ED"/>
    <w:rsid w:val="00EF2A3F"/>
    <w:rsid w:val="00F010B5"/>
    <w:rsid w:val="00F03C67"/>
    <w:rsid w:val="00F12D68"/>
    <w:rsid w:val="00F13CE9"/>
    <w:rsid w:val="00F222DB"/>
    <w:rsid w:val="00F24C27"/>
    <w:rsid w:val="00F42924"/>
    <w:rsid w:val="00F5480C"/>
    <w:rsid w:val="00F64035"/>
    <w:rsid w:val="00F87E2F"/>
    <w:rsid w:val="00F92B8C"/>
    <w:rsid w:val="00FB1791"/>
    <w:rsid w:val="00FC08A7"/>
    <w:rsid w:val="00FD300A"/>
    <w:rsid w:val="00FD41CD"/>
    <w:rsid w:val="00FD5D07"/>
    <w:rsid w:val="00FD64AE"/>
    <w:rsid w:val="00FF07CB"/>
    <w:rsid w:val="00FF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B7F54"/>
  <w15:docId w15:val="{6FD9479F-1559-46C9-8921-E2F5DB3C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uiPriority w:val="99"/>
    <w:pPr>
      <w:spacing w:after="160" w:line="240" w:lineRule="exact"/>
    </w:pPr>
    <w:rPr>
      <w:rFonts w:ascii="Times New Roman" w:eastAsia="Times New Roman" w:hAnsi="Times New Roman"/>
      <w:sz w:val="28"/>
      <w:szCs w:val="20"/>
      <w:lang w:val="en-US"/>
    </w:rPr>
  </w:style>
  <w:style w:type="paragraph" w:styleId="a4">
    <w:name w:val="No Spacing"/>
    <w:uiPriority w:val="1"/>
    <w:qFormat/>
    <w:rPr>
      <w:sz w:val="22"/>
      <w:szCs w:val="22"/>
      <w:lang w:eastAsia="en-US"/>
    </w:rPr>
  </w:style>
  <w:style w:type="paragraph" w:customStyle="1" w:styleId="1">
    <w:name w:val="Абзац списка1"/>
    <w:basedOn w:val="a"/>
    <w:uiPriority w:val="99"/>
    <w:pPr>
      <w:ind w:left="720"/>
      <w:contextualSpacing/>
    </w:pPr>
    <w:rPr>
      <w:rFonts w:eastAsia="Times New Roman"/>
      <w:lang w:eastAsia="ru-RU"/>
    </w:rPr>
  </w:style>
  <w:style w:type="paragraph" w:styleId="a5">
    <w:name w:val="Balloon Text"/>
    <w:basedOn w:val="a"/>
    <w:link w:val="a6"/>
    <w:uiPriority w:val="99"/>
    <w:semiHidden/>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Pr>
      <w:rFonts w:ascii="Segoe UI" w:hAnsi="Segoe UI" w:cs="Segoe UI"/>
      <w:sz w:val="18"/>
      <w:szCs w:val="18"/>
    </w:rPr>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link w:val="a7"/>
    <w:uiPriority w:val="99"/>
    <w:locked/>
    <w:rPr>
      <w:rFonts w:cs="Times New Roman"/>
    </w:rPr>
  </w:style>
  <w:style w:type="paragraph" w:styleId="a9">
    <w:name w:val="footer"/>
    <w:basedOn w:val="a"/>
    <w:link w:val="aa"/>
    <w:uiPriority w:val="99"/>
    <w:pPr>
      <w:tabs>
        <w:tab w:val="center" w:pos="4677"/>
        <w:tab w:val="right" w:pos="9355"/>
      </w:tabs>
      <w:spacing w:after="0" w:line="240" w:lineRule="auto"/>
    </w:pPr>
  </w:style>
  <w:style w:type="character" w:customStyle="1" w:styleId="aa">
    <w:name w:val="Нижний колонтитул Знак"/>
    <w:link w:val="a9"/>
    <w:uiPriority w:val="99"/>
    <w:locked/>
    <w:rPr>
      <w:rFonts w:cs="Times New Roman"/>
    </w:rPr>
  </w:style>
  <w:style w:type="paragraph" w:styleId="ab">
    <w:name w:val="List Paragraph"/>
    <w:basedOn w:val="a"/>
    <w:uiPriority w:val="34"/>
    <w:qFormat/>
    <w:pPr>
      <w:ind w:left="720"/>
      <w:contextualSpacing/>
    </w:pPr>
  </w:style>
  <w:style w:type="paragraph" w:customStyle="1" w:styleId="10">
    <w:name w:val="Без интервала1"/>
    <w:uiPriority w:val="99"/>
    <w:rPr>
      <w:rFonts w:eastAsia="Times New Roman"/>
      <w:sz w:val="22"/>
      <w:szCs w:val="22"/>
    </w:rPr>
  </w:style>
  <w:style w:type="paragraph" w:customStyle="1" w:styleId="2">
    <w:name w:val="Без интервала2"/>
    <w:uiPriority w:val="99"/>
    <w:rPr>
      <w:rFonts w:eastAsia="Times New Roman"/>
      <w:sz w:val="22"/>
      <w:szCs w:val="22"/>
    </w:rPr>
  </w:style>
  <w:style w:type="paragraph" w:customStyle="1" w:styleId="3">
    <w:name w:val="Без интервала3"/>
    <w:uiPriority w:val="99"/>
    <w:rPr>
      <w:rFonts w:eastAsia="Times New Roman"/>
      <w:sz w:val="22"/>
      <w:szCs w:val="22"/>
    </w:rPr>
  </w:style>
  <w:style w:type="character" w:styleId="ac">
    <w:name w:val="Emphasis"/>
    <w:qFormat/>
    <w:lock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2710">
      <w:bodyDiv w:val="1"/>
      <w:marLeft w:val="0"/>
      <w:marRight w:val="0"/>
      <w:marTop w:val="0"/>
      <w:marBottom w:val="0"/>
      <w:divBdr>
        <w:top w:val="none" w:sz="0" w:space="0" w:color="auto"/>
        <w:left w:val="none" w:sz="0" w:space="0" w:color="auto"/>
        <w:bottom w:val="none" w:sz="0" w:space="0" w:color="auto"/>
        <w:right w:val="none" w:sz="0" w:space="0" w:color="auto"/>
      </w:divBdr>
    </w:div>
    <w:div w:id="239141508">
      <w:marLeft w:val="0"/>
      <w:marRight w:val="0"/>
      <w:marTop w:val="0"/>
      <w:marBottom w:val="0"/>
      <w:divBdr>
        <w:top w:val="none" w:sz="0" w:space="0" w:color="auto"/>
        <w:left w:val="none" w:sz="0" w:space="0" w:color="auto"/>
        <w:bottom w:val="none" w:sz="0" w:space="0" w:color="auto"/>
        <w:right w:val="none" w:sz="0" w:space="0" w:color="auto"/>
      </w:divBdr>
    </w:div>
    <w:div w:id="239141509">
      <w:marLeft w:val="0"/>
      <w:marRight w:val="0"/>
      <w:marTop w:val="0"/>
      <w:marBottom w:val="0"/>
      <w:divBdr>
        <w:top w:val="none" w:sz="0" w:space="0" w:color="auto"/>
        <w:left w:val="none" w:sz="0" w:space="0" w:color="auto"/>
        <w:bottom w:val="none" w:sz="0" w:space="0" w:color="auto"/>
        <w:right w:val="none" w:sz="0" w:space="0" w:color="auto"/>
      </w:divBdr>
    </w:div>
    <w:div w:id="447818516">
      <w:bodyDiv w:val="1"/>
      <w:marLeft w:val="0"/>
      <w:marRight w:val="0"/>
      <w:marTop w:val="0"/>
      <w:marBottom w:val="0"/>
      <w:divBdr>
        <w:top w:val="none" w:sz="0" w:space="0" w:color="auto"/>
        <w:left w:val="none" w:sz="0" w:space="0" w:color="auto"/>
        <w:bottom w:val="none" w:sz="0" w:space="0" w:color="auto"/>
        <w:right w:val="none" w:sz="0" w:space="0" w:color="auto"/>
      </w:divBdr>
    </w:div>
    <w:div w:id="478351595">
      <w:bodyDiv w:val="1"/>
      <w:marLeft w:val="0"/>
      <w:marRight w:val="0"/>
      <w:marTop w:val="0"/>
      <w:marBottom w:val="0"/>
      <w:divBdr>
        <w:top w:val="none" w:sz="0" w:space="0" w:color="auto"/>
        <w:left w:val="none" w:sz="0" w:space="0" w:color="auto"/>
        <w:bottom w:val="none" w:sz="0" w:space="0" w:color="auto"/>
        <w:right w:val="none" w:sz="0" w:space="0" w:color="auto"/>
      </w:divBdr>
    </w:div>
    <w:div w:id="778918295">
      <w:bodyDiv w:val="1"/>
      <w:marLeft w:val="0"/>
      <w:marRight w:val="0"/>
      <w:marTop w:val="0"/>
      <w:marBottom w:val="0"/>
      <w:divBdr>
        <w:top w:val="none" w:sz="0" w:space="0" w:color="auto"/>
        <w:left w:val="none" w:sz="0" w:space="0" w:color="auto"/>
        <w:bottom w:val="none" w:sz="0" w:space="0" w:color="auto"/>
        <w:right w:val="none" w:sz="0" w:space="0" w:color="auto"/>
      </w:divBdr>
    </w:div>
    <w:div w:id="803279543">
      <w:bodyDiv w:val="1"/>
      <w:marLeft w:val="0"/>
      <w:marRight w:val="0"/>
      <w:marTop w:val="0"/>
      <w:marBottom w:val="0"/>
      <w:divBdr>
        <w:top w:val="none" w:sz="0" w:space="0" w:color="auto"/>
        <w:left w:val="none" w:sz="0" w:space="0" w:color="auto"/>
        <w:bottom w:val="none" w:sz="0" w:space="0" w:color="auto"/>
        <w:right w:val="none" w:sz="0" w:space="0" w:color="auto"/>
      </w:divBdr>
    </w:div>
    <w:div w:id="901134550">
      <w:bodyDiv w:val="1"/>
      <w:marLeft w:val="0"/>
      <w:marRight w:val="0"/>
      <w:marTop w:val="0"/>
      <w:marBottom w:val="0"/>
      <w:divBdr>
        <w:top w:val="none" w:sz="0" w:space="0" w:color="auto"/>
        <w:left w:val="none" w:sz="0" w:space="0" w:color="auto"/>
        <w:bottom w:val="none" w:sz="0" w:space="0" w:color="auto"/>
        <w:right w:val="none" w:sz="0" w:space="0" w:color="auto"/>
      </w:divBdr>
    </w:div>
    <w:div w:id="1079982658">
      <w:bodyDiv w:val="1"/>
      <w:marLeft w:val="0"/>
      <w:marRight w:val="0"/>
      <w:marTop w:val="0"/>
      <w:marBottom w:val="0"/>
      <w:divBdr>
        <w:top w:val="none" w:sz="0" w:space="0" w:color="auto"/>
        <w:left w:val="none" w:sz="0" w:space="0" w:color="auto"/>
        <w:bottom w:val="none" w:sz="0" w:space="0" w:color="auto"/>
        <w:right w:val="none" w:sz="0" w:space="0" w:color="auto"/>
      </w:divBdr>
    </w:div>
    <w:div w:id="1128940256">
      <w:bodyDiv w:val="1"/>
      <w:marLeft w:val="0"/>
      <w:marRight w:val="0"/>
      <w:marTop w:val="0"/>
      <w:marBottom w:val="0"/>
      <w:divBdr>
        <w:top w:val="none" w:sz="0" w:space="0" w:color="auto"/>
        <w:left w:val="none" w:sz="0" w:space="0" w:color="auto"/>
        <w:bottom w:val="none" w:sz="0" w:space="0" w:color="auto"/>
        <w:right w:val="none" w:sz="0" w:space="0" w:color="auto"/>
      </w:divBdr>
    </w:div>
    <w:div w:id="1152676464">
      <w:bodyDiv w:val="1"/>
      <w:marLeft w:val="0"/>
      <w:marRight w:val="0"/>
      <w:marTop w:val="0"/>
      <w:marBottom w:val="0"/>
      <w:divBdr>
        <w:top w:val="none" w:sz="0" w:space="0" w:color="auto"/>
        <w:left w:val="none" w:sz="0" w:space="0" w:color="auto"/>
        <w:bottom w:val="none" w:sz="0" w:space="0" w:color="auto"/>
        <w:right w:val="none" w:sz="0" w:space="0" w:color="auto"/>
      </w:divBdr>
    </w:div>
    <w:div w:id="1503007083">
      <w:bodyDiv w:val="1"/>
      <w:marLeft w:val="0"/>
      <w:marRight w:val="0"/>
      <w:marTop w:val="0"/>
      <w:marBottom w:val="0"/>
      <w:divBdr>
        <w:top w:val="none" w:sz="0" w:space="0" w:color="auto"/>
        <w:left w:val="none" w:sz="0" w:space="0" w:color="auto"/>
        <w:bottom w:val="none" w:sz="0" w:space="0" w:color="auto"/>
        <w:right w:val="none" w:sz="0" w:space="0" w:color="auto"/>
      </w:divBdr>
    </w:div>
    <w:div w:id="1634748282">
      <w:bodyDiv w:val="1"/>
      <w:marLeft w:val="0"/>
      <w:marRight w:val="0"/>
      <w:marTop w:val="0"/>
      <w:marBottom w:val="0"/>
      <w:divBdr>
        <w:top w:val="none" w:sz="0" w:space="0" w:color="auto"/>
        <w:left w:val="none" w:sz="0" w:space="0" w:color="auto"/>
        <w:bottom w:val="none" w:sz="0" w:space="0" w:color="auto"/>
        <w:right w:val="none" w:sz="0" w:space="0" w:color="auto"/>
      </w:divBdr>
    </w:div>
    <w:div w:id="1668821987">
      <w:bodyDiv w:val="1"/>
      <w:marLeft w:val="0"/>
      <w:marRight w:val="0"/>
      <w:marTop w:val="0"/>
      <w:marBottom w:val="0"/>
      <w:divBdr>
        <w:top w:val="none" w:sz="0" w:space="0" w:color="auto"/>
        <w:left w:val="none" w:sz="0" w:space="0" w:color="auto"/>
        <w:bottom w:val="none" w:sz="0" w:space="0" w:color="auto"/>
        <w:right w:val="none" w:sz="0" w:space="0" w:color="auto"/>
      </w:divBdr>
    </w:div>
    <w:div w:id="1960456923">
      <w:bodyDiv w:val="1"/>
      <w:marLeft w:val="0"/>
      <w:marRight w:val="0"/>
      <w:marTop w:val="0"/>
      <w:marBottom w:val="0"/>
      <w:divBdr>
        <w:top w:val="none" w:sz="0" w:space="0" w:color="auto"/>
        <w:left w:val="none" w:sz="0" w:space="0" w:color="auto"/>
        <w:bottom w:val="none" w:sz="0" w:space="0" w:color="auto"/>
        <w:right w:val="none" w:sz="0" w:space="0" w:color="auto"/>
      </w:divBdr>
    </w:div>
    <w:div w:id="20561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166F-DD5C-479C-9117-E743D077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2021-05-20T13:55:00Z</cp:lastPrinted>
  <dcterms:created xsi:type="dcterms:W3CDTF">2021-06-28T04:24:00Z</dcterms:created>
  <dcterms:modified xsi:type="dcterms:W3CDTF">2021-06-28T04:24:00Z</dcterms:modified>
</cp:coreProperties>
</file>